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3E" w:rsidRDefault="00932208" w:rsidP="00E60557">
      <w:pPr>
        <w:jc w:val="both"/>
        <w:rPr>
          <w:rFonts w:ascii="Arial" w:hAnsi="Arial" w:cs="Arial"/>
          <w:b/>
          <w:sz w:val="20"/>
          <w:szCs w:val="20"/>
        </w:rPr>
      </w:pPr>
      <w:r>
        <w:rPr>
          <w:rFonts w:ascii="Arial" w:hAnsi="Arial" w:cs="Arial"/>
          <w:b/>
          <w:sz w:val="20"/>
          <w:szCs w:val="20"/>
        </w:rPr>
        <w:t>NED</w:t>
      </w:r>
      <w:r w:rsidR="00E60557" w:rsidRPr="00E60557">
        <w:rPr>
          <w:rFonts w:ascii="Arial" w:hAnsi="Arial" w:cs="Arial"/>
          <w:b/>
          <w:sz w:val="20"/>
          <w:szCs w:val="20"/>
        </w:rPr>
        <w:t xml:space="preserve">: Extraordinary General Mandate 2020 </w:t>
      </w:r>
    </w:p>
    <w:p w:rsidR="00E60557" w:rsidRDefault="00E60557" w:rsidP="00E60557">
      <w:pPr>
        <w:jc w:val="both"/>
        <w:rPr>
          <w:rFonts w:ascii="Arial" w:hAnsi="Arial" w:cs="Arial"/>
          <w:b/>
          <w:sz w:val="20"/>
          <w:szCs w:val="20"/>
        </w:rPr>
      </w:pPr>
    </w:p>
    <w:p w:rsidR="00E60557" w:rsidRDefault="00E60557" w:rsidP="00550096">
      <w:pPr>
        <w:jc w:val="both"/>
        <w:rPr>
          <w:rFonts w:ascii="Arial" w:hAnsi="Arial" w:cs="Arial"/>
          <w:sz w:val="20"/>
          <w:szCs w:val="20"/>
        </w:rPr>
      </w:pPr>
      <w:r w:rsidRPr="00E60557">
        <w:rPr>
          <w:rFonts w:ascii="Arial" w:hAnsi="Arial" w:cs="Arial"/>
          <w:sz w:val="20"/>
          <w:szCs w:val="20"/>
        </w:rPr>
        <w:t>On</w:t>
      </w:r>
      <w:r w:rsidR="00767977">
        <w:rPr>
          <w:rFonts w:ascii="Arial" w:hAnsi="Arial" w:cs="Arial"/>
          <w:sz w:val="20"/>
          <w:szCs w:val="20"/>
        </w:rPr>
        <w:t xml:space="preserve"> 1</w:t>
      </w:r>
      <w:r w:rsidR="00932208">
        <w:rPr>
          <w:rFonts w:ascii="Arial" w:hAnsi="Arial" w:cs="Arial"/>
          <w:sz w:val="20"/>
          <w:szCs w:val="20"/>
        </w:rPr>
        <w:t>1</w:t>
      </w:r>
      <w:r>
        <w:rPr>
          <w:rFonts w:ascii="Arial" w:hAnsi="Arial" w:cs="Arial"/>
          <w:sz w:val="20"/>
          <w:szCs w:val="20"/>
        </w:rPr>
        <w:t>/09/2020</w:t>
      </w:r>
      <w:r w:rsidRPr="00E60557">
        <w:rPr>
          <w:rFonts w:ascii="Arial" w:hAnsi="Arial" w:cs="Arial"/>
          <w:sz w:val="20"/>
          <w:szCs w:val="20"/>
        </w:rPr>
        <w:t xml:space="preserve">, </w:t>
      </w:r>
      <w:r w:rsidR="00932208" w:rsidRPr="00932208">
        <w:rPr>
          <w:rFonts w:ascii="Arial" w:hAnsi="Arial" w:cs="Arial"/>
          <w:sz w:val="20"/>
          <w:szCs w:val="20"/>
        </w:rPr>
        <w:t>North - West Electric Investment and Development Joint Stock Company</w:t>
      </w:r>
      <w:r w:rsidR="00932208">
        <w:rPr>
          <w:rFonts w:ascii="Arial" w:hAnsi="Arial" w:cs="Arial"/>
          <w:sz w:val="20"/>
          <w:szCs w:val="20"/>
        </w:rPr>
        <w:t xml:space="preserve"> </w:t>
      </w:r>
      <w:r>
        <w:rPr>
          <w:rFonts w:ascii="Arial" w:hAnsi="Arial" w:cs="Arial"/>
          <w:sz w:val="20"/>
          <w:szCs w:val="20"/>
        </w:rPr>
        <w:t>announced the Extraordinary General Mandate 2020 as follows:</w:t>
      </w:r>
    </w:p>
    <w:p w:rsidR="00E60557" w:rsidRDefault="00E60557" w:rsidP="00E60557">
      <w:pPr>
        <w:jc w:val="both"/>
        <w:rPr>
          <w:rFonts w:ascii="Arial" w:hAnsi="Arial" w:cs="Arial"/>
          <w:sz w:val="20"/>
          <w:szCs w:val="20"/>
        </w:rPr>
      </w:pPr>
    </w:p>
    <w:p w:rsidR="00E60557" w:rsidRDefault="00E60557" w:rsidP="00E60557">
      <w:pPr>
        <w:jc w:val="both"/>
        <w:rPr>
          <w:rFonts w:ascii="Arial" w:hAnsi="Arial" w:cs="Arial"/>
          <w:sz w:val="20"/>
          <w:szCs w:val="20"/>
        </w:rPr>
      </w:pPr>
      <w:r>
        <w:rPr>
          <w:rFonts w:ascii="Arial" w:hAnsi="Arial" w:cs="Arial"/>
          <w:sz w:val="20"/>
          <w:szCs w:val="20"/>
        </w:rPr>
        <w:t xml:space="preserve">Article 1: </w:t>
      </w:r>
      <w:r w:rsidR="00932208">
        <w:rPr>
          <w:rFonts w:ascii="Arial" w:hAnsi="Arial" w:cs="Arial"/>
          <w:sz w:val="20"/>
          <w:szCs w:val="20"/>
        </w:rPr>
        <w:t>The General Meeting of Shareholders approves the following contents</w:t>
      </w:r>
      <w:r>
        <w:rPr>
          <w:rFonts w:ascii="Arial" w:hAnsi="Arial" w:cs="Arial"/>
          <w:sz w:val="20"/>
          <w:szCs w:val="20"/>
        </w:rPr>
        <w:t>:</w:t>
      </w:r>
    </w:p>
    <w:p w:rsidR="00932208" w:rsidRDefault="00932208" w:rsidP="00E60557">
      <w:pPr>
        <w:pStyle w:val="ListParagraph"/>
        <w:numPr>
          <w:ilvl w:val="0"/>
          <w:numId w:val="1"/>
        </w:numPr>
        <w:jc w:val="both"/>
        <w:rPr>
          <w:rFonts w:ascii="Arial" w:hAnsi="Arial" w:cs="Arial"/>
          <w:sz w:val="20"/>
          <w:szCs w:val="20"/>
        </w:rPr>
      </w:pPr>
      <w:r>
        <w:rPr>
          <w:rFonts w:ascii="Arial" w:hAnsi="Arial" w:cs="Arial"/>
          <w:sz w:val="20"/>
          <w:szCs w:val="20"/>
        </w:rPr>
        <w:t>Adjust some targets of Business Plan for 2020:</w:t>
      </w:r>
    </w:p>
    <w:tbl>
      <w:tblPr>
        <w:tblStyle w:val="TableGrid"/>
        <w:tblW w:w="0" w:type="auto"/>
        <w:tblInd w:w="360" w:type="dxa"/>
        <w:tblLook w:val="04A0" w:firstRow="1" w:lastRow="0" w:firstColumn="1" w:lastColumn="0" w:noHBand="0" w:noVBand="1"/>
      </w:tblPr>
      <w:tblGrid>
        <w:gridCol w:w="599"/>
        <w:gridCol w:w="2455"/>
        <w:gridCol w:w="1372"/>
        <w:gridCol w:w="1682"/>
        <w:gridCol w:w="1554"/>
        <w:gridCol w:w="1554"/>
      </w:tblGrid>
      <w:tr w:rsidR="00932208" w:rsidTr="00932208">
        <w:tc>
          <w:tcPr>
            <w:tcW w:w="599" w:type="dxa"/>
          </w:tcPr>
          <w:p w:rsidR="00932208" w:rsidRDefault="00932208" w:rsidP="00637D61">
            <w:pPr>
              <w:jc w:val="center"/>
              <w:rPr>
                <w:rFonts w:ascii="Arial" w:hAnsi="Arial" w:cs="Arial"/>
                <w:sz w:val="20"/>
                <w:szCs w:val="20"/>
              </w:rPr>
            </w:pPr>
            <w:r>
              <w:rPr>
                <w:rFonts w:ascii="Arial" w:hAnsi="Arial" w:cs="Arial"/>
                <w:sz w:val="20"/>
                <w:szCs w:val="20"/>
              </w:rPr>
              <w:t>No.</w:t>
            </w:r>
          </w:p>
        </w:tc>
        <w:tc>
          <w:tcPr>
            <w:tcW w:w="2455" w:type="dxa"/>
          </w:tcPr>
          <w:p w:rsidR="00932208" w:rsidRDefault="00932208" w:rsidP="00637D61">
            <w:pPr>
              <w:jc w:val="center"/>
              <w:rPr>
                <w:rFonts w:ascii="Arial" w:hAnsi="Arial" w:cs="Arial"/>
                <w:sz w:val="20"/>
                <w:szCs w:val="20"/>
              </w:rPr>
            </w:pPr>
            <w:r>
              <w:rPr>
                <w:rFonts w:ascii="Arial" w:hAnsi="Arial" w:cs="Arial"/>
                <w:sz w:val="20"/>
                <w:szCs w:val="20"/>
              </w:rPr>
              <w:t>Items</w:t>
            </w:r>
          </w:p>
        </w:tc>
        <w:tc>
          <w:tcPr>
            <w:tcW w:w="1372" w:type="dxa"/>
          </w:tcPr>
          <w:p w:rsidR="00932208" w:rsidRDefault="00932208" w:rsidP="00637D61">
            <w:pPr>
              <w:jc w:val="center"/>
              <w:rPr>
                <w:rFonts w:ascii="Arial" w:hAnsi="Arial" w:cs="Arial"/>
                <w:sz w:val="20"/>
                <w:szCs w:val="20"/>
              </w:rPr>
            </w:pPr>
            <w:r>
              <w:rPr>
                <w:rFonts w:ascii="Arial" w:hAnsi="Arial" w:cs="Arial"/>
                <w:sz w:val="20"/>
                <w:szCs w:val="20"/>
              </w:rPr>
              <w:t>Unit</w:t>
            </w:r>
          </w:p>
        </w:tc>
        <w:tc>
          <w:tcPr>
            <w:tcW w:w="1682" w:type="dxa"/>
          </w:tcPr>
          <w:p w:rsidR="00932208" w:rsidRDefault="00932208" w:rsidP="00637D61">
            <w:pPr>
              <w:jc w:val="center"/>
              <w:rPr>
                <w:rFonts w:ascii="Arial" w:hAnsi="Arial" w:cs="Arial"/>
                <w:sz w:val="20"/>
                <w:szCs w:val="20"/>
              </w:rPr>
            </w:pPr>
            <w:r>
              <w:rPr>
                <w:rFonts w:ascii="Arial" w:hAnsi="Arial" w:cs="Arial"/>
                <w:sz w:val="20"/>
                <w:szCs w:val="20"/>
              </w:rPr>
              <w:t>Plan 2020</w:t>
            </w:r>
          </w:p>
        </w:tc>
        <w:tc>
          <w:tcPr>
            <w:tcW w:w="1554" w:type="dxa"/>
          </w:tcPr>
          <w:p w:rsidR="00932208" w:rsidRDefault="00932208" w:rsidP="00637D61">
            <w:pPr>
              <w:jc w:val="center"/>
              <w:rPr>
                <w:rFonts w:ascii="Arial" w:hAnsi="Arial" w:cs="Arial"/>
                <w:sz w:val="20"/>
                <w:szCs w:val="20"/>
              </w:rPr>
            </w:pPr>
            <w:r>
              <w:rPr>
                <w:rFonts w:ascii="Arial" w:hAnsi="Arial" w:cs="Arial"/>
                <w:sz w:val="20"/>
                <w:szCs w:val="20"/>
              </w:rPr>
              <w:t>Adjusted plan 2020</w:t>
            </w:r>
          </w:p>
        </w:tc>
        <w:tc>
          <w:tcPr>
            <w:tcW w:w="1554" w:type="dxa"/>
          </w:tcPr>
          <w:p w:rsidR="00932208" w:rsidRDefault="00932208" w:rsidP="00637D61">
            <w:pPr>
              <w:jc w:val="center"/>
              <w:rPr>
                <w:rFonts w:ascii="Arial" w:hAnsi="Arial" w:cs="Arial"/>
                <w:sz w:val="20"/>
                <w:szCs w:val="20"/>
              </w:rPr>
            </w:pPr>
            <w:r>
              <w:rPr>
                <w:rFonts w:ascii="Arial" w:hAnsi="Arial" w:cs="Arial"/>
                <w:sz w:val="20"/>
                <w:szCs w:val="20"/>
              </w:rPr>
              <w:t>Adjusted plan/ plan ratio</w:t>
            </w:r>
          </w:p>
        </w:tc>
      </w:tr>
      <w:tr w:rsidR="00932208" w:rsidTr="00932208">
        <w:tc>
          <w:tcPr>
            <w:tcW w:w="599" w:type="dxa"/>
          </w:tcPr>
          <w:p w:rsidR="00932208" w:rsidRDefault="00932208" w:rsidP="00932208">
            <w:pPr>
              <w:jc w:val="both"/>
              <w:rPr>
                <w:rFonts w:ascii="Arial" w:hAnsi="Arial" w:cs="Arial"/>
                <w:sz w:val="20"/>
                <w:szCs w:val="20"/>
              </w:rPr>
            </w:pPr>
            <w:r>
              <w:rPr>
                <w:rFonts w:ascii="Arial" w:hAnsi="Arial" w:cs="Arial"/>
                <w:sz w:val="20"/>
                <w:szCs w:val="20"/>
              </w:rPr>
              <w:t>1</w:t>
            </w:r>
          </w:p>
        </w:tc>
        <w:tc>
          <w:tcPr>
            <w:tcW w:w="2455" w:type="dxa"/>
          </w:tcPr>
          <w:p w:rsidR="00932208" w:rsidRDefault="00932208" w:rsidP="00932208">
            <w:pPr>
              <w:jc w:val="both"/>
              <w:rPr>
                <w:rFonts w:ascii="Arial" w:hAnsi="Arial" w:cs="Arial"/>
                <w:sz w:val="20"/>
                <w:szCs w:val="20"/>
              </w:rPr>
            </w:pPr>
            <w:r>
              <w:rPr>
                <w:rFonts w:ascii="Arial" w:hAnsi="Arial" w:cs="Arial"/>
                <w:sz w:val="20"/>
                <w:szCs w:val="20"/>
              </w:rPr>
              <w:t>Revenue</w:t>
            </w:r>
          </w:p>
        </w:tc>
        <w:tc>
          <w:tcPr>
            <w:tcW w:w="1372" w:type="dxa"/>
          </w:tcPr>
          <w:p w:rsidR="00932208" w:rsidRDefault="00932208" w:rsidP="00637D61">
            <w:pPr>
              <w:jc w:val="center"/>
              <w:rPr>
                <w:rFonts w:ascii="Arial" w:hAnsi="Arial" w:cs="Arial"/>
                <w:sz w:val="20"/>
                <w:szCs w:val="20"/>
              </w:rPr>
            </w:pPr>
            <w:r>
              <w:rPr>
                <w:rFonts w:ascii="Arial" w:hAnsi="Arial" w:cs="Arial"/>
                <w:sz w:val="20"/>
                <w:szCs w:val="20"/>
              </w:rPr>
              <w:t>VND million</w:t>
            </w:r>
          </w:p>
        </w:tc>
        <w:tc>
          <w:tcPr>
            <w:tcW w:w="1682" w:type="dxa"/>
          </w:tcPr>
          <w:p w:rsidR="00932208" w:rsidRDefault="00932208" w:rsidP="00637D61">
            <w:pPr>
              <w:jc w:val="center"/>
              <w:rPr>
                <w:rFonts w:ascii="Arial" w:hAnsi="Arial" w:cs="Arial"/>
                <w:sz w:val="20"/>
                <w:szCs w:val="20"/>
              </w:rPr>
            </w:pPr>
            <w:r>
              <w:rPr>
                <w:rFonts w:ascii="Arial" w:hAnsi="Arial" w:cs="Arial"/>
                <w:sz w:val="20"/>
                <w:szCs w:val="20"/>
              </w:rPr>
              <w:t>247,139</w:t>
            </w:r>
          </w:p>
        </w:tc>
        <w:tc>
          <w:tcPr>
            <w:tcW w:w="1554" w:type="dxa"/>
          </w:tcPr>
          <w:p w:rsidR="00932208" w:rsidRDefault="00932208" w:rsidP="00637D61">
            <w:pPr>
              <w:jc w:val="center"/>
              <w:rPr>
                <w:rFonts w:ascii="Arial" w:hAnsi="Arial" w:cs="Arial"/>
                <w:sz w:val="20"/>
                <w:szCs w:val="20"/>
              </w:rPr>
            </w:pPr>
            <w:r>
              <w:rPr>
                <w:rFonts w:ascii="Arial" w:hAnsi="Arial" w:cs="Arial"/>
                <w:sz w:val="20"/>
                <w:szCs w:val="20"/>
              </w:rPr>
              <w:t>229,935</w:t>
            </w:r>
          </w:p>
        </w:tc>
        <w:tc>
          <w:tcPr>
            <w:tcW w:w="1554" w:type="dxa"/>
          </w:tcPr>
          <w:p w:rsidR="00932208" w:rsidRDefault="00932208" w:rsidP="00637D61">
            <w:pPr>
              <w:jc w:val="center"/>
              <w:rPr>
                <w:rFonts w:ascii="Arial" w:hAnsi="Arial" w:cs="Arial"/>
                <w:sz w:val="20"/>
                <w:szCs w:val="20"/>
              </w:rPr>
            </w:pPr>
            <w:r>
              <w:rPr>
                <w:rFonts w:ascii="Arial" w:hAnsi="Arial" w:cs="Arial"/>
                <w:sz w:val="20"/>
                <w:szCs w:val="20"/>
              </w:rPr>
              <w:t>93%</w:t>
            </w:r>
          </w:p>
        </w:tc>
      </w:tr>
      <w:tr w:rsidR="00637D61" w:rsidTr="00932208">
        <w:tc>
          <w:tcPr>
            <w:tcW w:w="599" w:type="dxa"/>
          </w:tcPr>
          <w:p w:rsidR="00637D61" w:rsidRDefault="00637D61" w:rsidP="00637D61">
            <w:pPr>
              <w:jc w:val="both"/>
              <w:rPr>
                <w:rFonts w:ascii="Arial" w:hAnsi="Arial" w:cs="Arial"/>
                <w:sz w:val="20"/>
                <w:szCs w:val="20"/>
              </w:rPr>
            </w:pPr>
            <w:r>
              <w:rPr>
                <w:rFonts w:ascii="Arial" w:hAnsi="Arial" w:cs="Arial"/>
                <w:sz w:val="20"/>
                <w:szCs w:val="20"/>
              </w:rPr>
              <w:t>2</w:t>
            </w:r>
          </w:p>
        </w:tc>
        <w:tc>
          <w:tcPr>
            <w:tcW w:w="2455" w:type="dxa"/>
          </w:tcPr>
          <w:p w:rsidR="00637D61" w:rsidRDefault="00637D61" w:rsidP="00637D61">
            <w:pPr>
              <w:jc w:val="both"/>
              <w:rPr>
                <w:rFonts w:ascii="Arial" w:hAnsi="Arial" w:cs="Arial"/>
                <w:sz w:val="20"/>
                <w:szCs w:val="20"/>
              </w:rPr>
            </w:pPr>
            <w:r>
              <w:rPr>
                <w:rFonts w:ascii="Arial" w:hAnsi="Arial" w:cs="Arial"/>
                <w:sz w:val="20"/>
                <w:szCs w:val="20"/>
              </w:rPr>
              <w:t>Expense</w:t>
            </w:r>
          </w:p>
        </w:tc>
        <w:tc>
          <w:tcPr>
            <w:tcW w:w="1372" w:type="dxa"/>
          </w:tcPr>
          <w:p w:rsidR="00637D61" w:rsidRDefault="00637D61" w:rsidP="00637D61">
            <w:pPr>
              <w:jc w:val="center"/>
              <w:rPr>
                <w:rFonts w:ascii="Arial" w:hAnsi="Arial" w:cs="Arial"/>
                <w:sz w:val="20"/>
                <w:szCs w:val="20"/>
              </w:rPr>
            </w:pPr>
            <w:r>
              <w:rPr>
                <w:rFonts w:ascii="Arial" w:hAnsi="Arial" w:cs="Arial"/>
                <w:sz w:val="20"/>
                <w:szCs w:val="20"/>
              </w:rPr>
              <w:t>VND million</w:t>
            </w:r>
          </w:p>
        </w:tc>
        <w:tc>
          <w:tcPr>
            <w:tcW w:w="1682" w:type="dxa"/>
          </w:tcPr>
          <w:p w:rsidR="00637D61" w:rsidRDefault="00637D61" w:rsidP="00637D61">
            <w:pPr>
              <w:jc w:val="center"/>
              <w:rPr>
                <w:rFonts w:ascii="Arial" w:hAnsi="Arial" w:cs="Arial"/>
                <w:sz w:val="20"/>
                <w:szCs w:val="20"/>
              </w:rPr>
            </w:pPr>
            <w:r>
              <w:rPr>
                <w:rFonts w:ascii="Arial" w:hAnsi="Arial" w:cs="Arial"/>
                <w:sz w:val="20"/>
                <w:szCs w:val="20"/>
              </w:rPr>
              <w:t>176,431</w:t>
            </w: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109,909</w:t>
            </w: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62%</w:t>
            </w:r>
          </w:p>
        </w:tc>
      </w:tr>
      <w:tr w:rsidR="00637D61" w:rsidTr="00932208">
        <w:tc>
          <w:tcPr>
            <w:tcW w:w="599" w:type="dxa"/>
          </w:tcPr>
          <w:p w:rsidR="00637D61" w:rsidRDefault="00637D61" w:rsidP="00637D61">
            <w:pPr>
              <w:jc w:val="both"/>
              <w:rPr>
                <w:rFonts w:ascii="Arial" w:hAnsi="Arial" w:cs="Arial"/>
                <w:sz w:val="20"/>
                <w:szCs w:val="20"/>
              </w:rPr>
            </w:pPr>
            <w:r>
              <w:rPr>
                <w:rFonts w:ascii="Arial" w:hAnsi="Arial" w:cs="Arial"/>
                <w:sz w:val="20"/>
                <w:szCs w:val="20"/>
              </w:rPr>
              <w:t>3</w:t>
            </w:r>
          </w:p>
        </w:tc>
        <w:tc>
          <w:tcPr>
            <w:tcW w:w="2455" w:type="dxa"/>
          </w:tcPr>
          <w:p w:rsidR="00637D61" w:rsidRDefault="00637D61" w:rsidP="00637D61">
            <w:pPr>
              <w:jc w:val="both"/>
              <w:rPr>
                <w:rFonts w:ascii="Arial" w:hAnsi="Arial" w:cs="Arial"/>
                <w:sz w:val="20"/>
                <w:szCs w:val="20"/>
              </w:rPr>
            </w:pPr>
            <w:r>
              <w:rPr>
                <w:rFonts w:ascii="Arial" w:hAnsi="Arial" w:cs="Arial"/>
                <w:sz w:val="20"/>
                <w:szCs w:val="20"/>
              </w:rPr>
              <w:t>Profit before corporate income tax</w:t>
            </w:r>
          </w:p>
        </w:tc>
        <w:tc>
          <w:tcPr>
            <w:tcW w:w="1372" w:type="dxa"/>
          </w:tcPr>
          <w:p w:rsidR="00637D61" w:rsidRDefault="00637D61" w:rsidP="00637D61">
            <w:pPr>
              <w:jc w:val="center"/>
              <w:rPr>
                <w:rFonts w:ascii="Arial" w:hAnsi="Arial" w:cs="Arial"/>
                <w:sz w:val="20"/>
                <w:szCs w:val="20"/>
              </w:rPr>
            </w:pPr>
            <w:r>
              <w:rPr>
                <w:rFonts w:ascii="Arial" w:hAnsi="Arial" w:cs="Arial"/>
                <w:sz w:val="20"/>
                <w:szCs w:val="20"/>
              </w:rPr>
              <w:t>VND million</w:t>
            </w:r>
          </w:p>
        </w:tc>
        <w:tc>
          <w:tcPr>
            <w:tcW w:w="1682" w:type="dxa"/>
          </w:tcPr>
          <w:p w:rsidR="00637D61" w:rsidRDefault="00637D61" w:rsidP="00637D61">
            <w:pPr>
              <w:jc w:val="center"/>
              <w:rPr>
                <w:rFonts w:ascii="Arial" w:hAnsi="Arial" w:cs="Arial"/>
                <w:sz w:val="20"/>
                <w:szCs w:val="20"/>
              </w:rPr>
            </w:pPr>
            <w:r>
              <w:rPr>
                <w:rFonts w:ascii="Arial" w:hAnsi="Arial" w:cs="Arial"/>
                <w:sz w:val="20"/>
                <w:szCs w:val="20"/>
              </w:rPr>
              <w:t>70,708</w:t>
            </w: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120,026</w:t>
            </w: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170%</w:t>
            </w:r>
          </w:p>
        </w:tc>
      </w:tr>
      <w:tr w:rsidR="00637D61" w:rsidTr="00932208">
        <w:tc>
          <w:tcPr>
            <w:tcW w:w="599" w:type="dxa"/>
          </w:tcPr>
          <w:p w:rsidR="00637D61" w:rsidRDefault="00637D61" w:rsidP="00637D61">
            <w:pPr>
              <w:jc w:val="both"/>
              <w:rPr>
                <w:rFonts w:ascii="Arial" w:hAnsi="Arial" w:cs="Arial"/>
                <w:sz w:val="20"/>
                <w:szCs w:val="20"/>
              </w:rPr>
            </w:pPr>
            <w:r>
              <w:rPr>
                <w:rFonts w:ascii="Arial" w:hAnsi="Arial" w:cs="Arial"/>
                <w:sz w:val="20"/>
                <w:szCs w:val="20"/>
              </w:rPr>
              <w:t>4</w:t>
            </w:r>
          </w:p>
        </w:tc>
        <w:tc>
          <w:tcPr>
            <w:tcW w:w="2455" w:type="dxa"/>
          </w:tcPr>
          <w:p w:rsidR="00637D61" w:rsidRDefault="00637D61" w:rsidP="00637D61">
            <w:pPr>
              <w:jc w:val="both"/>
              <w:rPr>
                <w:rFonts w:ascii="Arial" w:hAnsi="Arial" w:cs="Arial"/>
                <w:sz w:val="20"/>
                <w:szCs w:val="20"/>
              </w:rPr>
            </w:pPr>
            <w:r>
              <w:rPr>
                <w:rFonts w:ascii="Arial" w:hAnsi="Arial" w:cs="Arial"/>
                <w:sz w:val="20"/>
                <w:szCs w:val="20"/>
              </w:rPr>
              <w:t>Profit after corporate income tax</w:t>
            </w:r>
          </w:p>
        </w:tc>
        <w:tc>
          <w:tcPr>
            <w:tcW w:w="1372" w:type="dxa"/>
          </w:tcPr>
          <w:p w:rsidR="00637D61" w:rsidRDefault="00637D61" w:rsidP="00637D61">
            <w:pPr>
              <w:jc w:val="center"/>
              <w:rPr>
                <w:rFonts w:ascii="Arial" w:hAnsi="Arial" w:cs="Arial"/>
                <w:sz w:val="20"/>
                <w:szCs w:val="20"/>
              </w:rPr>
            </w:pPr>
            <w:r>
              <w:rPr>
                <w:rFonts w:ascii="Arial" w:hAnsi="Arial" w:cs="Arial"/>
                <w:sz w:val="20"/>
                <w:szCs w:val="20"/>
              </w:rPr>
              <w:t>VND million</w:t>
            </w:r>
          </w:p>
        </w:tc>
        <w:tc>
          <w:tcPr>
            <w:tcW w:w="1682" w:type="dxa"/>
          </w:tcPr>
          <w:p w:rsidR="00637D61" w:rsidRDefault="00637D61" w:rsidP="00637D61">
            <w:pPr>
              <w:jc w:val="center"/>
              <w:rPr>
                <w:rFonts w:ascii="Arial" w:hAnsi="Arial" w:cs="Arial"/>
                <w:sz w:val="20"/>
                <w:szCs w:val="20"/>
              </w:rPr>
            </w:pPr>
            <w:r>
              <w:rPr>
                <w:rFonts w:ascii="Arial" w:hAnsi="Arial" w:cs="Arial"/>
                <w:sz w:val="20"/>
                <w:szCs w:val="20"/>
              </w:rPr>
              <w:t>67,173</w:t>
            </w: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96,021</w:t>
            </w: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143%</w:t>
            </w:r>
          </w:p>
        </w:tc>
      </w:tr>
      <w:tr w:rsidR="00637D61" w:rsidTr="00932208">
        <w:tc>
          <w:tcPr>
            <w:tcW w:w="599" w:type="dxa"/>
          </w:tcPr>
          <w:p w:rsidR="00637D61" w:rsidRDefault="00637D61" w:rsidP="00637D61">
            <w:pPr>
              <w:jc w:val="both"/>
              <w:rPr>
                <w:rFonts w:ascii="Arial" w:hAnsi="Arial" w:cs="Arial"/>
                <w:sz w:val="20"/>
                <w:szCs w:val="20"/>
              </w:rPr>
            </w:pPr>
            <w:r>
              <w:rPr>
                <w:rFonts w:ascii="Arial" w:hAnsi="Arial" w:cs="Arial"/>
                <w:sz w:val="20"/>
                <w:szCs w:val="20"/>
              </w:rPr>
              <w:t>5</w:t>
            </w:r>
          </w:p>
        </w:tc>
        <w:tc>
          <w:tcPr>
            <w:tcW w:w="2455" w:type="dxa"/>
          </w:tcPr>
          <w:p w:rsidR="00637D61" w:rsidRDefault="00637D61" w:rsidP="00637D61">
            <w:pPr>
              <w:jc w:val="both"/>
              <w:rPr>
                <w:rFonts w:ascii="Arial" w:hAnsi="Arial" w:cs="Arial"/>
                <w:sz w:val="20"/>
                <w:szCs w:val="20"/>
              </w:rPr>
            </w:pPr>
            <w:r>
              <w:rPr>
                <w:rFonts w:ascii="Arial" w:hAnsi="Arial" w:cs="Arial"/>
                <w:sz w:val="20"/>
                <w:szCs w:val="20"/>
              </w:rPr>
              <w:t>Dividend plan for 2020</w:t>
            </w:r>
          </w:p>
        </w:tc>
        <w:tc>
          <w:tcPr>
            <w:tcW w:w="1372" w:type="dxa"/>
          </w:tcPr>
          <w:p w:rsidR="00637D61" w:rsidRDefault="00637D61" w:rsidP="00637D61">
            <w:pPr>
              <w:jc w:val="center"/>
              <w:rPr>
                <w:rFonts w:ascii="Arial" w:hAnsi="Arial" w:cs="Arial"/>
                <w:sz w:val="20"/>
                <w:szCs w:val="20"/>
              </w:rPr>
            </w:pPr>
            <w:r>
              <w:rPr>
                <w:rFonts w:ascii="Arial" w:hAnsi="Arial" w:cs="Arial"/>
                <w:sz w:val="20"/>
                <w:szCs w:val="20"/>
              </w:rPr>
              <w:t>%</w:t>
            </w:r>
          </w:p>
        </w:tc>
        <w:tc>
          <w:tcPr>
            <w:tcW w:w="1682" w:type="dxa"/>
          </w:tcPr>
          <w:p w:rsidR="00637D61" w:rsidRDefault="00637D61" w:rsidP="00637D61">
            <w:pPr>
              <w:jc w:val="center"/>
              <w:rPr>
                <w:rFonts w:ascii="Arial" w:hAnsi="Arial" w:cs="Arial"/>
                <w:sz w:val="20"/>
                <w:szCs w:val="20"/>
              </w:rPr>
            </w:pPr>
          </w:p>
        </w:tc>
        <w:tc>
          <w:tcPr>
            <w:tcW w:w="1554" w:type="dxa"/>
          </w:tcPr>
          <w:p w:rsidR="00637D61" w:rsidRDefault="00637D61" w:rsidP="00637D61">
            <w:pPr>
              <w:jc w:val="center"/>
              <w:rPr>
                <w:rFonts w:ascii="Arial" w:hAnsi="Arial" w:cs="Arial"/>
                <w:sz w:val="20"/>
                <w:szCs w:val="20"/>
              </w:rPr>
            </w:pPr>
            <w:r>
              <w:rPr>
                <w:rFonts w:ascii="Arial" w:hAnsi="Arial" w:cs="Arial"/>
                <w:sz w:val="20"/>
                <w:szCs w:val="20"/>
              </w:rPr>
              <w:t>6.0</w:t>
            </w:r>
          </w:p>
        </w:tc>
        <w:tc>
          <w:tcPr>
            <w:tcW w:w="1554" w:type="dxa"/>
          </w:tcPr>
          <w:p w:rsidR="00637D61" w:rsidRDefault="00637D61" w:rsidP="00637D61">
            <w:pPr>
              <w:jc w:val="center"/>
              <w:rPr>
                <w:rFonts w:ascii="Arial" w:hAnsi="Arial" w:cs="Arial"/>
                <w:sz w:val="20"/>
                <w:szCs w:val="20"/>
              </w:rPr>
            </w:pPr>
          </w:p>
        </w:tc>
      </w:tr>
    </w:tbl>
    <w:p w:rsidR="00932208" w:rsidRPr="00932208" w:rsidRDefault="00932208" w:rsidP="00932208">
      <w:pPr>
        <w:ind w:left="360"/>
        <w:jc w:val="both"/>
        <w:rPr>
          <w:rFonts w:ascii="Arial" w:hAnsi="Arial" w:cs="Arial"/>
          <w:sz w:val="20"/>
          <w:szCs w:val="20"/>
        </w:rPr>
      </w:pPr>
    </w:p>
    <w:p w:rsidR="00E60557" w:rsidRDefault="0009087C" w:rsidP="00E60557">
      <w:pPr>
        <w:pStyle w:val="ListParagraph"/>
        <w:numPr>
          <w:ilvl w:val="0"/>
          <w:numId w:val="1"/>
        </w:numPr>
        <w:jc w:val="both"/>
        <w:rPr>
          <w:rFonts w:ascii="Arial" w:hAnsi="Arial" w:cs="Arial"/>
          <w:sz w:val="20"/>
          <w:szCs w:val="20"/>
        </w:rPr>
      </w:pPr>
      <w:r>
        <w:rPr>
          <w:rFonts w:ascii="Arial" w:hAnsi="Arial" w:cs="Arial"/>
          <w:sz w:val="20"/>
          <w:szCs w:val="20"/>
        </w:rPr>
        <w:t>Approve the dividend 2020 advance plan:</w:t>
      </w:r>
    </w:p>
    <w:tbl>
      <w:tblPr>
        <w:tblStyle w:val="TableGrid"/>
        <w:tblW w:w="0" w:type="auto"/>
        <w:tblInd w:w="360" w:type="dxa"/>
        <w:tblLook w:val="04A0" w:firstRow="1" w:lastRow="0" w:firstColumn="1" w:lastColumn="0" w:noHBand="0" w:noVBand="1"/>
      </w:tblPr>
      <w:tblGrid>
        <w:gridCol w:w="599"/>
        <w:gridCol w:w="3402"/>
        <w:gridCol w:w="1134"/>
        <w:gridCol w:w="2239"/>
        <w:gridCol w:w="1842"/>
      </w:tblGrid>
      <w:tr w:rsidR="0009087C" w:rsidTr="0009087C">
        <w:tc>
          <w:tcPr>
            <w:tcW w:w="599" w:type="dxa"/>
          </w:tcPr>
          <w:p w:rsidR="0009087C" w:rsidRDefault="0009087C" w:rsidP="0009087C">
            <w:pPr>
              <w:jc w:val="center"/>
              <w:rPr>
                <w:rFonts w:ascii="Arial" w:hAnsi="Arial" w:cs="Arial"/>
                <w:sz w:val="20"/>
                <w:szCs w:val="20"/>
              </w:rPr>
            </w:pPr>
            <w:r>
              <w:rPr>
                <w:rFonts w:ascii="Arial" w:hAnsi="Arial" w:cs="Arial"/>
                <w:sz w:val="20"/>
                <w:szCs w:val="20"/>
              </w:rPr>
              <w:t>No.</w:t>
            </w:r>
          </w:p>
        </w:tc>
        <w:tc>
          <w:tcPr>
            <w:tcW w:w="3402" w:type="dxa"/>
          </w:tcPr>
          <w:p w:rsidR="0009087C" w:rsidRDefault="0009087C" w:rsidP="0009087C">
            <w:pPr>
              <w:jc w:val="center"/>
              <w:rPr>
                <w:rFonts w:ascii="Arial" w:hAnsi="Arial" w:cs="Arial"/>
                <w:sz w:val="20"/>
                <w:szCs w:val="20"/>
              </w:rPr>
            </w:pPr>
            <w:r>
              <w:rPr>
                <w:rFonts w:ascii="Arial" w:hAnsi="Arial" w:cs="Arial"/>
                <w:sz w:val="20"/>
                <w:szCs w:val="20"/>
              </w:rPr>
              <w:t>Items</w:t>
            </w:r>
          </w:p>
        </w:tc>
        <w:tc>
          <w:tcPr>
            <w:tcW w:w="1134" w:type="dxa"/>
          </w:tcPr>
          <w:p w:rsidR="0009087C" w:rsidRDefault="0009087C" w:rsidP="0009087C">
            <w:pPr>
              <w:jc w:val="center"/>
              <w:rPr>
                <w:rFonts w:ascii="Arial" w:hAnsi="Arial" w:cs="Arial"/>
                <w:sz w:val="20"/>
                <w:szCs w:val="20"/>
              </w:rPr>
            </w:pPr>
            <w:r>
              <w:rPr>
                <w:rFonts w:ascii="Arial" w:hAnsi="Arial" w:cs="Arial"/>
                <w:sz w:val="20"/>
                <w:szCs w:val="20"/>
              </w:rPr>
              <w:t>Unit</w:t>
            </w:r>
          </w:p>
        </w:tc>
        <w:tc>
          <w:tcPr>
            <w:tcW w:w="2239" w:type="dxa"/>
          </w:tcPr>
          <w:p w:rsidR="0009087C" w:rsidRDefault="0009087C" w:rsidP="0009087C">
            <w:pPr>
              <w:jc w:val="center"/>
              <w:rPr>
                <w:rFonts w:ascii="Arial" w:hAnsi="Arial" w:cs="Arial"/>
                <w:sz w:val="20"/>
                <w:szCs w:val="20"/>
              </w:rPr>
            </w:pPr>
            <w:r>
              <w:rPr>
                <w:rFonts w:ascii="Arial" w:hAnsi="Arial" w:cs="Arial"/>
                <w:sz w:val="20"/>
                <w:szCs w:val="20"/>
              </w:rPr>
              <w:t>Amount</w:t>
            </w:r>
          </w:p>
        </w:tc>
        <w:tc>
          <w:tcPr>
            <w:tcW w:w="1842" w:type="dxa"/>
          </w:tcPr>
          <w:p w:rsidR="0009087C" w:rsidRDefault="0009087C" w:rsidP="0009087C">
            <w:pPr>
              <w:jc w:val="center"/>
              <w:rPr>
                <w:rFonts w:ascii="Arial" w:hAnsi="Arial" w:cs="Arial"/>
                <w:sz w:val="20"/>
                <w:szCs w:val="20"/>
              </w:rPr>
            </w:pPr>
            <w:r>
              <w:rPr>
                <w:rFonts w:ascii="Arial" w:hAnsi="Arial" w:cs="Arial"/>
                <w:sz w:val="20"/>
                <w:szCs w:val="20"/>
              </w:rPr>
              <w:t>Note</w:t>
            </w:r>
          </w:p>
        </w:tc>
      </w:tr>
      <w:tr w:rsidR="0009087C" w:rsidTr="0009087C">
        <w:tc>
          <w:tcPr>
            <w:tcW w:w="599" w:type="dxa"/>
          </w:tcPr>
          <w:p w:rsidR="0009087C" w:rsidRDefault="0009087C" w:rsidP="0009087C">
            <w:pPr>
              <w:jc w:val="center"/>
              <w:rPr>
                <w:rFonts w:ascii="Arial" w:hAnsi="Arial" w:cs="Arial"/>
                <w:sz w:val="20"/>
                <w:szCs w:val="20"/>
              </w:rPr>
            </w:pPr>
            <w:r>
              <w:rPr>
                <w:rFonts w:ascii="Arial" w:hAnsi="Arial" w:cs="Arial"/>
                <w:sz w:val="20"/>
                <w:szCs w:val="20"/>
              </w:rPr>
              <w:t>1</w:t>
            </w:r>
          </w:p>
        </w:tc>
        <w:tc>
          <w:tcPr>
            <w:tcW w:w="3402" w:type="dxa"/>
          </w:tcPr>
          <w:p w:rsidR="0009087C" w:rsidRDefault="0009087C" w:rsidP="0009087C">
            <w:pPr>
              <w:jc w:val="both"/>
              <w:rPr>
                <w:rFonts w:ascii="Arial" w:hAnsi="Arial" w:cs="Arial"/>
                <w:sz w:val="20"/>
                <w:szCs w:val="20"/>
              </w:rPr>
            </w:pPr>
            <w:r>
              <w:rPr>
                <w:rFonts w:ascii="Arial" w:hAnsi="Arial" w:cs="Arial"/>
                <w:sz w:val="20"/>
                <w:szCs w:val="20"/>
              </w:rPr>
              <w:t>Profit after tax of the first 6 months of 2020</w:t>
            </w:r>
          </w:p>
        </w:tc>
        <w:tc>
          <w:tcPr>
            <w:tcW w:w="1134" w:type="dxa"/>
          </w:tcPr>
          <w:p w:rsidR="0009087C" w:rsidRDefault="0009087C" w:rsidP="0009087C">
            <w:pPr>
              <w:jc w:val="both"/>
              <w:rPr>
                <w:rFonts w:ascii="Arial" w:hAnsi="Arial" w:cs="Arial"/>
                <w:sz w:val="20"/>
                <w:szCs w:val="20"/>
              </w:rPr>
            </w:pPr>
            <w:r>
              <w:rPr>
                <w:rFonts w:ascii="Arial" w:hAnsi="Arial" w:cs="Arial"/>
                <w:sz w:val="20"/>
                <w:szCs w:val="20"/>
              </w:rPr>
              <w:t>VND</w:t>
            </w:r>
          </w:p>
        </w:tc>
        <w:tc>
          <w:tcPr>
            <w:tcW w:w="2239" w:type="dxa"/>
          </w:tcPr>
          <w:p w:rsidR="0009087C" w:rsidRDefault="0009087C" w:rsidP="0009087C">
            <w:pPr>
              <w:jc w:val="both"/>
              <w:rPr>
                <w:rFonts w:ascii="Arial" w:hAnsi="Arial" w:cs="Arial"/>
                <w:sz w:val="20"/>
                <w:szCs w:val="20"/>
              </w:rPr>
            </w:pPr>
            <w:r>
              <w:rPr>
                <w:rFonts w:ascii="Arial" w:hAnsi="Arial" w:cs="Arial"/>
                <w:sz w:val="20"/>
                <w:szCs w:val="20"/>
              </w:rPr>
              <w:t>91,747,499,619</w:t>
            </w:r>
          </w:p>
        </w:tc>
        <w:tc>
          <w:tcPr>
            <w:tcW w:w="1842" w:type="dxa"/>
          </w:tcPr>
          <w:p w:rsidR="0009087C" w:rsidRDefault="0009087C" w:rsidP="0009087C">
            <w:pPr>
              <w:jc w:val="both"/>
              <w:rPr>
                <w:rFonts w:ascii="Arial" w:hAnsi="Arial" w:cs="Arial"/>
                <w:sz w:val="20"/>
                <w:szCs w:val="20"/>
              </w:rPr>
            </w:pPr>
          </w:p>
        </w:tc>
      </w:tr>
      <w:tr w:rsidR="0009087C" w:rsidTr="0009087C">
        <w:tc>
          <w:tcPr>
            <w:tcW w:w="599" w:type="dxa"/>
          </w:tcPr>
          <w:p w:rsidR="0009087C" w:rsidRDefault="0009087C" w:rsidP="0009087C">
            <w:pPr>
              <w:jc w:val="center"/>
              <w:rPr>
                <w:rFonts w:ascii="Arial" w:hAnsi="Arial" w:cs="Arial"/>
                <w:sz w:val="20"/>
                <w:szCs w:val="20"/>
              </w:rPr>
            </w:pPr>
            <w:r>
              <w:rPr>
                <w:rFonts w:ascii="Arial" w:hAnsi="Arial" w:cs="Arial"/>
                <w:sz w:val="20"/>
                <w:szCs w:val="20"/>
              </w:rPr>
              <w:t>2</w:t>
            </w:r>
          </w:p>
        </w:tc>
        <w:tc>
          <w:tcPr>
            <w:tcW w:w="3402" w:type="dxa"/>
          </w:tcPr>
          <w:p w:rsidR="0009087C" w:rsidRDefault="0009087C" w:rsidP="0009087C">
            <w:pPr>
              <w:jc w:val="both"/>
              <w:rPr>
                <w:rFonts w:ascii="Arial" w:hAnsi="Arial" w:cs="Arial"/>
                <w:sz w:val="20"/>
                <w:szCs w:val="20"/>
              </w:rPr>
            </w:pPr>
            <w:r>
              <w:rPr>
                <w:rFonts w:ascii="Arial" w:hAnsi="Arial" w:cs="Arial"/>
                <w:sz w:val="20"/>
                <w:szCs w:val="20"/>
              </w:rPr>
              <w:t>Undistributed profit after tax accrued to 01/01/2020</w:t>
            </w:r>
          </w:p>
        </w:tc>
        <w:tc>
          <w:tcPr>
            <w:tcW w:w="1134" w:type="dxa"/>
          </w:tcPr>
          <w:p w:rsidR="0009087C" w:rsidRDefault="0009087C" w:rsidP="0009087C">
            <w:pPr>
              <w:jc w:val="both"/>
              <w:rPr>
                <w:rFonts w:ascii="Arial" w:hAnsi="Arial" w:cs="Arial"/>
                <w:sz w:val="20"/>
                <w:szCs w:val="20"/>
              </w:rPr>
            </w:pPr>
            <w:r>
              <w:rPr>
                <w:rFonts w:ascii="Arial" w:hAnsi="Arial" w:cs="Arial"/>
                <w:sz w:val="20"/>
                <w:szCs w:val="20"/>
              </w:rPr>
              <w:t>VND</w:t>
            </w:r>
          </w:p>
        </w:tc>
        <w:tc>
          <w:tcPr>
            <w:tcW w:w="2239" w:type="dxa"/>
          </w:tcPr>
          <w:p w:rsidR="0009087C" w:rsidRDefault="0009087C" w:rsidP="0009087C">
            <w:pPr>
              <w:jc w:val="both"/>
              <w:rPr>
                <w:rFonts w:ascii="Arial" w:hAnsi="Arial" w:cs="Arial"/>
                <w:sz w:val="20"/>
                <w:szCs w:val="20"/>
              </w:rPr>
            </w:pPr>
            <w:r>
              <w:rPr>
                <w:rFonts w:ascii="Arial" w:hAnsi="Arial" w:cs="Arial"/>
                <w:sz w:val="20"/>
                <w:szCs w:val="20"/>
              </w:rPr>
              <w:t>-66,256,175,066</w:t>
            </w:r>
          </w:p>
        </w:tc>
        <w:tc>
          <w:tcPr>
            <w:tcW w:w="1842" w:type="dxa"/>
          </w:tcPr>
          <w:p w:rsidR="0009087C" w:rsidRDefault="0009087C" w:rsidP="0009087C">
            <w:pPr>
              <w:jc w:val="both"/>
              <w:rPr>
                <w:rFonts w:ascii="Arial" w:hAnsi="Arial" w:cs="Arial"/>
                <w:sz w:val="20"/>
                <w:szCs w:val="20"/>
              </w:rPr>
            </w:pPr>
          </w:p>
        </w:tc>
      </w:tr>
      <w:tr w:rsidR="0009087C" w:rsidTr="0009087C">
        <w:tc>
          <w:tcPr>
            <w:tcW w:w="599" w:type="dxa"/>
          </w:tcPr>
          <w:p w:rsidR="0009087C" w:rsidRDefault="0009087C" w:rsidP="0009087C">
            <w:pPr>
              <w:jc w:val="center"/>
              <w:rPr>
                <w:rFonts w:ascii="Arial" w:hAnsi="Arial" w:cs="Arial"/>
                <w:sz w:val="20"/>
                <w:szCs w:val="20"/>
              </w:rPr>
            </w:pPr>
            <w:r>
              <w:rPr>
                <w:rFonts w:ascii="Arial" w:hAnsi="Arial" w:cs="Arial"/>
                <w:sz w:val="20"/>
                <w:szCs w:val="20"/>
              </w:rPr>
              <w:t>3</w:t>
            </w:r>
          </w:p>
        </w:tc>
        <w:tc>
          <w:tcPr>
            <w:tcW w:w="3402" w:type="dxa"/>
          </w:tcPr>
          <w:p w:rsidR="0009087C" w:rsidRDefault="0009087C" w:rsidP="0009087C">
            <w:pPr>
              <w:jc w:val="both"/>
              <w:rPr>
                <w:rFonts w:ascii="Arial" w:hAnsi="Arial" w:cs="Arial"/>
                <w:sz w:val="20"/>
                <w:szCs w:val="20"/>
              </w:rPr>
            </w:pPr>
            <w:r>
              <w:rPr>
                <w:rFonts w:ascii="Arial" w:hAnsi="Arial" w:cs="Arial"/>
                <w:sz w:val="20"/>
                <w:szCs w:val="20"/>
              </w:rPr>
              <w:t>Profit after tax accrued to 30/06/2020</w:t>
            </w:r>
          </w:p>
        </w:tc>
        <w:tc>
          <w:tcPr>
            <w:tcW w:w="1134" w:type="dxa"/>
          </w:tcPr>
          <w:p w:rsidR="0009087C" w:rsidRDefault="0009087C" w:rsidP="0009087C">
            <w:pPr>
              <w:jc w:val="both"/>
              <w:rPr>
                <w:rFonts w:ascii="Arial" w:hAnsi="Arial" w:cs="Arial"/>
                <w:sz w:val="20"/>
                <w:szCs w:val="20"/>
              </w:rPr>
            </w:pPr>
            <w:r>
              <w:rPr>
                <w:rFonts w:ascii="Arial" w:hAnsi="Arial" w:cs="Arial"/>
                <w:sz w:val="20"/>
                <w:szCs w:val="20"/>
              </w:rPr>
              <w:t>VND</w:t>
            </w:r>
          </w:p>
        </w:tc>
        <w:tc>
          <w:tcPr>
            <w:tcW w:w="2239" w:type="dxa"/>
          </w:tcPr>
          <w:p w:rsidR="0009087C" w:rsidRDefault="00DF5AA2" w:rsidP="0009087C">
            <w:pPr>
              <w:jc w:val="both"/>
              <w:rPr>
                <w:rFonts w:ascii="Arial" w:hAnsi="Arial" w:cs="Arial"/>
                <w:sz w:val="20"/>
                <w:szCs w:val="20"/>
              </w:rPr>
            </w:pPr>
            <w:r>
              <w:rPr>
                <w:rFonts w:ascii="Arial" w:hAnsi="Arial" w:cs="Arial"/>
                <w:sz w:val="20"/>
                <w:szCs w:val="20"/>
              </w:rPr>
              <w:t>25,491,324,553</w:t>
            </w:r>
          </w:p>
        </w:tc>
        <w:tc>
          <w:tcPr>
            <w:tcW w:w="1842" w:type="dxa"/>
          </w:tcPr>
          <w:p w:rsidR="0009087C" w:rsidRDefault="0009087C" w:rsidP="0009087C">
            <w:pPr>
              <w:jc w:val="both"/>
              <w:rPr>
                <w:rFonts w:ascii="Arial" w:hAnsi="Arial" w:cs="Arial"/>
                <w:sz w:val="20"/>
                <w:szCs w:val="20"/>
              </w:rPr>
            </w:pPr>
          </w:p>
        </w:tc>
      </w:tr>
      <w:tr w:rsidR="0009087C" w:rsidTr="0009087C">
        <w:tc>
          <w:tcPr>
            <w:tcW w:w="599" w:type="dxa"/>
          </w:tcPr>
          <w:p w:rsidR="0009087C" w:rsidRDefault="00DF5AA2" w:rsidP="0009087C">
            <w:pPr>
              <w:jc w:val="center"/>
              <w:rPr>
                <w:rFonts w:ascii="Arial" w:hAnsi="Arial" w:cs="Arial"/>
                <w:sz w:val="20"/>
                <w:szCs w:val="20"/>
              </w:rPr>
            </w:pPr>
            <w:r>
              <w:rPr>
                <w:rFonts w:ascii="Arial" w:hAnsi="Arial" w:cs="Arial"/>
                <w:sz w:val="20"/>
                <w:szCs w:val="20"/>
              </w:rPr>
              <w:t>4</w:t>
            </w:r>
          </w:p>
        </w:tc>
        <w:tc>
          <w:tcPr>
            <w:tcW w:w="3402" w:type="dxa"/>
          </w:tcPr>
          <w:p w:rsidR="0009087C" w:rsidRDefault="00DF5AA2" w:rsidP="0009087C">
            <w:pPr>
              <w:jc w:val="both"/>
              <w:rPr>
                <w:rFonts w:ascii="Arial" w:hAnsi="Arial" w:cs="Arial"/>
                <w:sz w:val="20"/>
                <w:szCs w:val="20"/>
              </w:rPr>
            </w:pPr>
            <w:r>
              <w:rPr>
                <w:rFonts w:ascii="Arial" w:hAnsi="Arial" w:cs="Arial"/>
                <w:sz w:val="20"/>
                <w:szCs w:val="20"/>
              </w:rPr>
              <w:t>Dividend advance rate</w:t>
            </w:r>
          </w:p>
        </w:tc>
        <w:tc>
          <w:tcPr>
            <w:tcW w:w="1134" w:type="dxa"/>
          </w:tcPr>
          <w:p w:rsidR="0009087C" w:rsidRDefault="00DF5AA2" w:rsidP="0009087C">
            <w:pPr>
              <w:jc w:val="both"/>
              <w:rPr>
                <w:rFonts w:ascii="Arial" w:hAnsi="Arial" w:cs="Arial"/>
                <w:sz w:val="20"/>
                <w:szCs w:val="20"/>
              </w:rPr>
            </w:pPr>
            <w:r>
              <w:rPr>
                <w:rFonts w:ascii="Arial" w:hAnsi="Arial" w:cs="Arial"/>
                <w:sz w:val="20"/>
                <w:szCs w:val="20"/>
              </w:rPr>
              <w:t>%</w:t>
            </w:r>
          </w:p>
        </w:tc>
        <w:tc>
          <w:tcPr>
            <w:tcW w:w="2239" w:type="dxa"/>
          </w:tcPr>
          <w:p w:rsidR="0009087C" w:rsidRDefault="00DF5AA2" w:rsidP="0009087C">
            <w:pPr>
              <w:jc w:val="both"/>
              <w:rPr>
                <w:rFonts w:ascii="Arial" w:hAnsi="Arial" w:cs="Arial"/>
                <w:sz w:val="20"/>
                <w:szCs w:val="20"/>
              </w:rPr>
            </w:pPr>
            <w:r>
              <w:rPr>
                <w:rFonts w:ascii="Arial" w:hAnsi="Arial" w:cs="Arial"/>
                <w:sz w:val="20"/>
                <w:szCs w:val="20"/>
              </w:rPr>
              <w:t>5.0</w:t>
            </w:r>
          </w:p>
        </w:tc>
        <w:tc>
          <w:tcPr>
            <w:tcW w:w="1842" w:type="dxa"/>
          </w:tcPr>
          <w:p w:rsidR="0009087C" w:rsidRDefault="0009087C" w:rsidP="0009087C">
            <w:pPr>
              <w:jc w:val="both"/>
              <w:rPr>
                <w:rFonts w:ascii="Arial" w:hAnsi="Arial" w:cs="Arial"/>
                <w:sz w:val="20"/>
                <w:szCs w:val="20"/>
              </w:rPr>
            </w:pPr>
          </w:p>
        </w:tc>
      </w:tr>
      <w:tr w:rsidR="0009087C" w:rsidTr="0009087C">
        <w:tc>
          <w:tcPr>
            <w:tcW w:w="599" w:type="dxa"/>
          </w:tcPr>
          <w:p w:rsidR="0009087C" w:rsidRDefault="00DF5AA2" w:rsidP="0009087C">
            <w:pPr>
              <w:jc w:val="center"/>
              <w:rPr>
                <w:rFonts w:ascii="Arial" w:hAnsi="Arial" w:cs="Arial"/>
                <w:sz w:val="20"/>
                <w:szCs w:val="20"/>
              </w:rPr>
            </w:pPr>
            <w:r>
              <w:rPr>
                <w:rFonts w:ascii="Arial" w:hAnsi="Arial" w:cs="Arial"/>
                <w:sz w:val="20"/>
                <w:szCs w:val="20"/>
              </w:rPr>
              <w:t>5</w:t>
            </w:r>
          </w:p>
        </w:tc>
        <w:tc>
          <w:tcPr>
            <w:tcW w:w="3402" w:type="dxa"/>
          </w:tcPr>
          <w:p w:rsidR="0009087C" w:rsidRDefault="00ED0905" w:rsidP="0009087C">
            <w:pPr>
              <w:jc w:val="both"/>
              <w:rPr>
                <w:rFonts w:ascii="Arial" w:hAnsi="Arial" w:cs="Arial"/>
                <w:sz w:val="20"/>
                <w:szCs w:val="20"/>
              </w:rPr>
            </w:pPr>
            <w:r>
              <w:rPr>
                <w:rFonts w:ascii="Arial" w:hAnsi="Arial" w:cs="Arial"/>
                <w:sz w:val="20"/>
                <w:szCs w:val="20"/>
              </w:rPr>
              <w:t>Cash spent for dividend advance</w:t>
            </w:r>
          </w:p>
        </w:tc>
        <w:tc>
          <w:tcPr>
            <w:tcW w:w="1134" w:type="dxa"/>
          </w:tcPr>
          <w:p w:rsidR="0009087C" w:rsidRDefault="00ED0905" w:rsidP="0009087C">
            <w:pPr>
              <w:jc w:val="both"/>
              <w:rPr>
                <w:rFonts w:ascii="Arial" w:hAnsi="Arial" w:cs="Arial"/>
                <w:sz w:val="20"/>
                <w:szCs w:val="20"/>
              </w:rPr>
            </w:pPr>
            <w:r>
              <w:rPr>
                <w:rFonts w:ascii="Arial" w:hAnsi="Arial" w:cs="Arial"/>
                <w:sz w:val="20"/>
                <w:szCs w:val="20"/>
              </w:rPr>
              <w:t>VND</w:t>
            </w:r>
          </w:p>
        </w:tc>
        <w:tc>
          <w:tcPr>
            <w:tcW w:w="2239" w:type="dxa"/>
          </w:tcPr>
          <w:p w:rsidR="0009087C" w:rsidRDefault="00ED0905" w:rsidP="0009087C">
            <w:pPr>
              <w:jc w:val="both"/>
              <w:rPr>
                <w:rFonts w:ascii="Arial" w:hAnsi="Arial" w:cs="Arial"/>
                <w:sz w:val="20"/>
                <w:szCs w:val="20"/>
              </w:rPr>
            </w:pPr>
            <w:r>
              <w:rPr>
                <w:rFonts w:ascii="Arial" w:hAnsi="Arial" w:cs="Arial"/>
                <w:sz w:val="20"/>
                <w:szCs w:val="20"/>
              </w:rPr>
              <w:t>20,250,000,000</w:t>
            </w:r>
          </w:p>
        </w:tc>
        <w:tc>
          <w:tcPr>
            <w:tcW w:w="1842" w:type="dxa"/>
          </w:tcPr>
          <w:p w:rsidR="0009087C" w:rsidRDefault="0009087C" w:rsidP="0009087C">
            <w:pPr>
              <w:jc w:val="both"/>
              <w:rPr>
                <w:rFonts w:ascii="Arial" w:hAnsi="Arial" w:cs="Arial"/>
                <w:sz w:val="20"/>
                <w:szCs w:val="20"/>
              </w:rPr>
            </w:pPr>
          </w:p>
        </w:tc>
      </w:tr>
      <w:tr w:rsidR="0009087C" w:rsidTr="0009087C">
        <w:tc>
          <w:tcPr>
            <w:tcW w:w="599" w:type="dxa"/>
          </w:tcPr>
          <w:p w:rsidR="0009087C" w:rsidRDefault="00ED0905" w:rsidP="0009087C">
            <w:pPr>
              <w:jc w:val="center"/>
              <w:rPr>
                <w:rFonts w:ascii="Arial" w:hAnsi="Arial" w:cs="Arial"/>
                <w:sz w:val="20"/>
                <w:szCs w:val="20"/>
              </w:rPr>
            </w:pPr>
            <w:r>
              <w:rPr>
                <w:rFonts w:ascii="Arial" w:hAnsi="Arial" w:cs="Arial"/>
                <w:sz w:val="20"/>
                <w:szCs w:val="20"/>
              </w:rPr>
              <w:t>6</w:t>
            </w:r>
          </w:p>
        </w:tc>
        <w:tc>
          <w:tcPr>
            <w:tcW w:w="3402" w:type="dxa"/>
          </w:tcPr>
          <w:p w:rsidR="0009087C" w:rsidRDefault="00ED0905" w:rsidP="0009087C">
            <w:pPr>
              <w:jc w:val="both"/>
              <w:rPr>
                <w:rFonts w:ascii="Arial" w:hAnsi="Arial" w:cs="Arial"/>
                <w:sz w:val="20"/>
                <w:szCs w:val="20"/>
              </w:rPr>
            </w:pPr>
            <w:r>
              <w:rPr>
                <w:rFonts w:ascii="Arial" w:hAnsi="Arial" w:cs="Arial"/>
                <w:sz w:val="20"/>
                <w:szCs w:val="20"/>
              </w:rPr>
              <w:t>Retained profit after tax after dividend advance</w:t>
            </w:r>
          </w:p>
        </w:tc>
        <w:tc>
          <w:tcPr>
            <w:tcW w:w="1134" w:type="dxa"/>
          </w:tcPr>
          <w:p w:rsidR="0009087C" w:rsidRDefault="00ED0905" w:rsidP="0009087C">
            <w:pPr>
              <w:jc w:val="both"/>
              <w:rPr>
                <w:rFonts w:ascii="Arial" w:hAnsi="Arial" w:cs="Arial"/>
                <w:sz w:val="20"/>
                <w:szCs w:val="20"/>
              </w:rPr>
            </w:pPr>
            <w:r>
              <w:rPr>
                <w:rFonts w:ascii="Arial" w:hAnsi="Arial" w:cs="Arial"/>
                <w:sz w:val="20"/>
                <w:szCs w:val="20"/>
              </w:rPr>
              <w:t>VND</w:t>
            </w:r>
          </w:p>
        </w:tc>
        <w:tc>
          <w:tcPr>
            <w:tcW w:w="2239" w:type="dxa"/>
          </w:tcPr>
          <w:p w:rsidR="0009087C" w:rsidRDefault="00ED0905" w:rsidP="0009087C">
            <w:pPr>
              <w:jc w:val="both"/>
              <w:rPr>
                <w:rFonts w:ascii="Arial" w:hAnsi="Arial" w:cs="Arial"/>
                <w:sz w:val="20"/>
                <w:szCs w:val="20"/>
              </w:rPr>
            </w:pPr>
            <w:r>
              <w:rPr>
                <w:rFonts w:ascii="Arial" w:hAnsi="Arial" w:cs="Arial"/>
                <w:sz w:val="20"/>
                <w:szCs w:val="20"/>
              </w:rPr>
              <w:t>5,241,324,553</w:t>
            </w:r>
          </w:p>
        </w:tc>
        <w:tc>
          <w:tcPr>
            <w:tcW w:w="1842" w:type="dxa"/>
          </w:tcPr>
          <w:p w:rsidR="0009087C" w:rsidRDefault="0009087C" w:rsidP="0009087C">
            <w:pPr>
              <w:jc w:val="both"/>
              <w:rPr>
                <w:rFonts w:ascii="Arial" w:hAnsi="Arial" w:cs="Arial"/>
                <w:sz w:val="20"/>
                <w:szCs w:val="20"/>
              </w:rPr>
            </w:pPr>
          </w:p>
        </w:tc>
      </w:tr>
    </w:tbl>
    <w:p w:rsidR="0009087C" w:rsidRDefault="00B30EF3" w:rsidP="00B30EF3">
      <w:pPr>
        <w:pStyle w:val="ListParagraph"/>
        <w:numPr>
          <w:ilvl w:val="0"/>
          <w:numId w:val="3"/>
        </w:numPr>
        <w:jc w:val="both"/>
        <w:rPr>
          <w:rFonts w:ascii="Arial" w:hAnsi="Arial" w:cs="Arial"/>
          <w:sz w:val="20"/>
          <w:szCs w:val="20"/>
        </w:rPr>
      </w:pPr>
      <w:r>
        <w:rPr>
          <w:rFonts w:ascii="Arial" w:hAnsi="Arial" w:cs="Arial"/>
          <w:sz w:val="20"/>
          <w:szCs w:val="20"/>
        </w:rPr>
        <w:t>Dividend advance rate is 5%/share (shareholders owning 01 share receive VND 500)</w:t>
      </w:r>
    </w:p>
    <w:p w:rsidR="00B30EF3" w:rsidRDefault="00B30EF3" w:rsidP="00B30EF3">
      <w:pPr>
        <w:pStyle w:val="ListParagraph"/>
        <w:numPr>
          <w:ilvl w:val="0"/>
          <w:numId w:val="3"/>
        </w:numPr>
        <w:jc w:val="both"/>
        <w:rPr>
          <w:rFonts w:ascii="Arial" w:hAnsi="Arial" w:cs="Arial"/>
          <w:sz w:val="20"/>
          <w:szCs w:val="20"/>
        </w:rPr>
      </w:pPr>
      <w:r>
        <w:rPr>
          <w:rFonts w:ascii="Arial" w:hAnsi="Arial" w:cs="Arial"/>
          <w:sz w:val="20"/>
          <w:szCs w:val="20"/>
        </w:rPr>
        <w:t>Total cash paid: VND 20,250,000,000</w:t>
      </w:r>
    </w:p>
    <w:p w:rsidR="00B30EF3" w:rsidRDefault="00B30EF3" w:rsidP="00B30EF3">
      <w:pPr>
        <w:pStyle w:val="ListParagraph"/>
        <w:numPr>
          <w:ilvl w:val="0"/>
          <w:numId w:val="3"/>
        </w:numPr>
        <w:jc w:val="both"/>
        <w:rPr>
          <w:rFonts w:ascii="Arial" w:hAnsi="Arial" w:cs="Arial"/>
          <w:sz w:val="20"/>
          <w:szCs w:val="20"/>
        </w:rPr>
      </w:pPr>
      <w:r>
        <w:rPr>
          <w:rFonts w:ascii="Arial" w:hAnsi="Arial" w:cs="Arial"/>
          <w:sz w:val="20"/>
          <w:szCs w:val="20"/>
        </w:rPr>
        <w:t>Exercise date: in 2020</w:t>
      </w:r>
    </w:p>
    <w:p w:rsidR="00B30EF3" w:rsidRDefault="00B30EF3" w:rsidP="00B30EF3">
      <w:pPr>
        <w:pStyle w:val="ListParagraph"/>
        <w:numPr>
          <w:ilvl w:val="0"/>
          <w:numId w:val="3"/>
        </w:numPr>
        <w:jc w:val="both"/>
        <w:rPr>
          <w:rFonts w:ascii="Arial" w:hAnsi="Arial" w:cs="Arial"/>
          <w:sz w:val="20"/>
          <w:szCs w:val="20"/>
        </w:rPr>
      </w:pPr>
      <w:r>
        <w:rPr>
          <w:rFonts w:ascii="Arial" w:hAnsi="Arial" w:cs="Arial"/>
          <w:sz w:val="20"/>
          <w:szCs w:val="20"/>
        </w:rPr>
        <w:t>Method: General Meeting of Shareholders authorizes Board of Directors to consider and decide the record date and payment date of dividend</w:t>
      </w:r>
    </w:p>
    <w:p w:rsidR="00B30EF3" w:rsidRPr="00B30EF3" w:rsidRDefault="00B30EF3" w:rsidP="00B30EF3">
      <w:pPr>
        <w:pStyle w:val="ListParagraph"/>
        <w:numPr>
          <w:ilvl w:val="0"/>
          <w:numId w:val="1"/>
        </w:numPr>
        <w:jc w:val="both"/>
        <w:rPr>
          <w:rFonts w:ascii="Arial" w:hAnsi="Arial" w:cs="Arial"/>
          <w:sz w:val="20"/>
          <w:szCs w:val="20"/>
        </w:rPr>
      </w:pPr>
      <w:r>
        <w:rPr>
          <w:rFonts w:ascii="Arial" w:hAnsi="Arial" w:cs="Arial"/>
          <w:sz w:val="20"/>
          <w:szCs w:val="20"/>
        </w:rPr>
        <w:t>Approve supplement of business lines</w:t>
      </w:r>
    </w:p>
    <w:p w:rsidR="00736FD0" w:rsidRDefault="00736FD0" w:rsidP="00736FD0">
      <w:pPr>
        <w:jc w:val="both"/>
        <w:rPr>
          <w:rFonts w:ascii="Arial" w:hAnsi="Arial" w:cs="Arial"/>
          <w:sz w:val="20"/>
          <w:szCs w:val="20"/>
        </w:rPr>
      </w:pPr>
      <w:r>
        <w:rPr>
          <w:rFonts w:ascii="Arial" w:hAnsi="Arial" w:cs="Arial"/>
          <w:sz w:val="20"/>
          <w:szCs w:val="20"/>
        </w:rPr>
        <w:t xml:space="preserve">Article 2: </w:t>
      </w:r>
      <w:r w:rsidR="00B30EF3">
        <w:rPr>
          <w:rFonts w:ascii="Arial" w:hAnsi="Arial" w:cs="Arial"/>
          <w:sz w:val="20"/>
          <w:szCs w:val="20"/>
        </w:rPr>
        <w:t xml:space="preserve">General Meeting of Shareholders assigns Board of Directors to decide and implement the above contents in accordance with the Law, Charter of the Company and Report implementation result in the next Annual General Meeting of Shareholders. </w:t>
      </w:r>
      <w:r w:rsidR="00A36FD4">
        <w:rPr>
          <w:rFonts w:ascii="Arial" w:hAnsi="Arial" w:cs="Arial"/>
          <w:sz w:val="20"/>
          <w:szCs w:val="20"/>
        </w:rPr>
        <w:t>Board of Directors is allowed to assign/authorize Chair of the Board, General Manager or other person to perform the tasks or decide the issues assigned or authorized above</w:t>
      </w:r>
    </w:p>
    <w:p w:rsidR="00A36FD4" w:rsidRDefault="00A36FD4" w:rsidP="00A36FD4">
      <w:pPr>
        <w:jc w:val="both"/>
        <w:rPr>
          <w:rFonts w:ascii="Arial" w:hAnsi="Arial" w:cs="Arial"/>
          <w:sz w:val="20"/>
          <w:szCs w:val="20"/>
        </w:rPr>
      </w:pPr>
      <w:r>
        <w:rPr>
          <w:rFonts w:ascii="Arial" w:hAnsi="Arial" w:cs="Arial"/>
          <w:sz w:val="20"/>
          <w:szCs w:val="20"/>
        </w:rPr>
        <w:t xml:space="preserve">Article 3: </w:t>
      </w:r>
      <w:r w:rsidR="00550096">
        <w:rPr>
          <w:rFonts w:ascii="Arial" w:hAnsi="Arial" w:cs="Arial"/>
          <w:sz w:val="20"/>
          <w:szCs w:val="20"/>
        </w:rPr>
        <w:t>This mandate is approved</w:t>
      </w:r>
      <w:r>
        <w:rPr>
          <w:rFonts w:ascii="Arial" w:hAnsi="Arial" w:cs="Arial"/>
          <w:sz w:val="20"/>
          <w:szCs w:val="20"/>
        </w:rPr>
        <w:t xml:space="preserve"> by the General Meeting of Shareholders of </w:t>
      </w:r>
      <w:r w:rsidRPr="00932208">
        <w:rPr>
          <w:rFonts w:ascii="Arial" w:hAnsi="Arial" w:cs="Arial"/>
          <w:sz w:val="20"/>
          <w:szCs w:val="20"/>
        </w:rPr>
        <w:t>North - West Electric Investment and Development Joint Stock Company</w:t>
      </w:r>
      <w:r w:rsidR="00550096">
        <w:rPr>
          <w:rFonts w:ascii="Arial" w:hAnsi="Arial" w:cs="Arial"/>
          <w:sz w:val="20"/>
          <w:szCs w:val="20"/>
        </w:rPr>
        <w:t xml:space="preserve"> </w:t>
      </w:r>
      <w:r>
        <w:rPr>
          <w:rFonts w:ascii="Arial" w:hAnsi="Arial" w:cs="Arial"/>
          <w:sz w:val="20"/>
          <w:szCs w:val="20"/>
        </w:rPr>
        <w:t>and is effective from</w:t>
      </w:r>
      <w:r w:rsidR="00550096">
        <w:rPr>
          <w:rFonts w:ascii="Arial" w:hAnsi="Arial" w:cs="Arial"/>
          <w:sz w:val="20"/>
          <w:szCs w:val="20"/>
        </w:rPr>
        <w:t xml:space="preserve"> 1</w:t>
      </w:r>
      <w:r>
        <w:rPr>
          <w:rFonts w:ascii="Arial" w:hAnsi="Arial" w:cs="Arial"/>
          <w:sz w:val="20"/>
          <w:szCs w:val="20"/>
        </w:rPr>
        <w:t>1</w:t>
      </w:r>
      <w:r w:rsidR="00550096">
        <w:rPr>
          <w:rFonts w:ascii="Arial" w:hAnsi="Arial" w:cs="Arial"/>
          <w:sz w:val="20"/>
          <w:szCs w:val="20"/>
        </w:rPr>
        <w:t xml:space="preserve">/09/2020 </w:t>
      </w:r>
    </w:p>
    <w:p w:rsidR="00550096" w:rsidRPr="00550096" w:rsidRDefault="00A36FD4" w:rsidP="00A36FD4">
      <w:pPr>
        <w:jc w:val="both"/>
        <w:rPr>
          <w:rFonts w:ascii="Arial" w:hAnsi="Arial" w:cs="Arial"/>
          <w:sz w:val="20"/>
          <w:szCs w:val="20"/>
        </w:rPr>
      </w:pPr>
      <w:r>
        <w:rPr>
          <w:rFonts w:ascii="Arial" w:hAnsi="Arial" w:cs="Arial"/>
          <w:sz w:val="20"/>
          <w:szCs w:val="20"/>
        </w:rPr>
        <w:t>Shareholders, members</w:t>
      </w:r>
      <w:r w:rsidR="00550096">
        <w:rPr>
          <w:rFonts w:ascii="Arial" w:hAnsi="Arial" w:cs="Arial"/>
          <w:sz w:val="20"/>
          <w:szCs w:val="20"/>
        </w:rPr>
        <w:t xml:space="preserve"> of the Board of Directors, </w:t>
      </w:r>
      <w:r>
        <w:rPr>
          <w:rFonts w:ascii="Arial" w:hAnsi="Arial" w:cs="Arial"/>
          <w:sz w:val="20"/>
          <w:szCs w:val="20"/>
        </w:rPr>
        <w:t>Supervisory Board, General Manager, Funcional Managers, managers of departments, divisions of the C</w:t>
      </w:r>
      <w:r w:rsidR="00160E94">
        <w:rPr>
          <w:rFonts w:ascii="Arial" w:hAnsi="Arial" w:cs="Arial"/>
          <w:sz w:val="20"/>
          <w:szCs w:val="20"/>
        </w:rPr>
        <w:t>ompany</w:t>
      </w:r>
      <w:r>
        <w:rPr>
          <w:rFonts w:ascii="Arial" w:hAnsi="Arial" w:cs="Arial"/>
          <w:sz w:val="20"/>
          <w:szCs w:val="20"/>
        </w:rPr>
        <w:t xml:space="preserve"> and related individuals</w:t>
      </w:r>
      <w:bookmarkStart w:id="0" w:name="_GoBack"/>
      <w:bookmarkEnd w:id="0"/>
      <w:r w:rsidR="00160E94">
        <w:rPr>
          <w:rFonts w:ascii="Arial" w:hAnsi="Arial" w:cs="Arial"/>
          <w:sz w:val="20"/>
          <w:szCs w:val="20"/>
        </w:rPr>
        <w:t xml:space="preserve"> are responsible to implement this Mandate</w:t>
      </w:r>
    </w:p>
    <w:sectPr w:rsidR="00550096" w:rsidRPr="00550096" w:rsidSect="005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20A"/>
    <w:multiLevelType w:val="hybridMultilevel"/>
    <w:tmpl w:val="FE5CA4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24B33CC"/>
    <w:multiLevelType w:val="hybridMultilevel"/>
    <w:tmpl w:val="90AC7D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9FE0C55"/>
    <w:multiLevelType w:val="hybridMultilevel"/>
    <w:tmpl w:val="C54A34BA"/>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E2F0D"/>
    <w:multiLevelType w:val="hybridMultilevel"/>
    <w:tmpl w:val="5FBC0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60557"/>
    <w:rsid w:val="0009087C"/>
    <w:rsid w:val="00160E94"/>
    <w:rsid w:val="00416BF9"/>
    <w:rsid w:val="00550096"/>
    <w:rsid w:val="0059563E"/>
    <w:rsid w:val="00637D61"/>
    <w:rsid w:val="00736FD0"/>
    <w:rsid w:val="00767977"/>
    <w:rsid w:val="00932208"/>
    <w:rsid w:val="00A36FD4"/>
    <w:rsid w:val="00B30EF3"/>
    <w:rsid w:val="00DF5AA2"/>
    <w:rsid w:val="00E60557"/>
    <w:rsid w:val="00ED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A61B"/>
  <w15:docId w15:val="{01088E23-1014-4137-88AB-0081316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57"/>
    <w:pPr>
      <w:ind w:left="720"/>
      <w:contextualSpacing/>
    </w:pPr>
  </w:style>
  <w:style w:type="table" w:styleId="TableGrid">
    <w:name w:val="Table Grid"/>
    <w:basedOn w:val="TableNormal"/>
    <w:uiPriority w:val="59"/>
    <w:rsid w:val="009322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 Hoang</cp:lastModifiedBy>
  <cp:revision>9</cp:revision>
  <dcterms:created xsi:type="dcterms:W3CDTF">2020-09-05T01:51:00Z</dcterms:created>
  <dcterms:modified xsi:type="dcterms:W3CDTF">2020-09-16T02:12:00Z</dcterms:modified>
</cp:coreProperties>
</file>